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3AEA" w14:textId="77777777" w:rsidR="006C77E7" w:rsidRDefault="006C77E7" w:rsidP="008D30F8">
      <w:pPr>
        <w:pStyle w:val="Rubrik"/>
      </w:pPr>
    </w:p>
    <w:p w14:paraId="03B5F1C1" w14:textId="77777777" w:rsidR="008E4FB4" w:rsidRPr="008E4FB4" w:rsidRDefault="008E4FB4" w:rsidP="008D30F8">
      <w:pPr>
        <w:rPr>
          <w:rFonts w:ascii="Proxima Nova" w:hAnsi="Proxima Nova"/>
          <w:b/>
          <w:bCs/>
          <w:sz w:val="72"/>
          <w:szCs w:val="72"/>
          <w:lang w:val="fi-FI"/>
        </w:rPr>
      </w:pPr>
      <w:r w:rsidRPr="008E4FB4">
        <w:rPr>
          <w:rFonts w:ascii="Proxima Nova" w:hAnsi="Proxima Nova"/>
          <w:b/>
          <w:bCs/>
          <w:sz w:val="72"/>
          <w:szCs w:val="72"/>
          <w:lang w:val="fi-FI"/>
        </w:rPr>
        <w:t xml:space="preserve">EventBoost-avustuksia koskevat ohjeet ja arviointiperusteet </w:t>
      </w:r>
    </w:p>
    <w:p w14:paraId="03B8D1AA" w14:textId="77777777" w:rsidR="006E2CF3" w:rsidRPr="0079472B" w:rsidRDefault="006E2CF3" w:rsidP="006E2CF3">
      <w:r w:rsidRPr="0079472B">
        <w:rPr>
          <w:b/>
          <w:bCs/>
          <w:lang w:val="fi-FI"/>
        </w:rPr>
        <w:t>Ohjeet</w:t>
      </w:r>
      <w:r w:rsidRPr="0079472B">
        <w:t> </w:t>
      </w:r>
    </w:p>
    <w:p w14:paraId="64501B6E" w14:textId="77777777" w:rsidR="006E2CF3" w:rsidRPr="0079472B" w:rsidRDefault="006E2CF3" w:rsidP="006E2CF3">
      <w:r w:rsidRPr="0079472B">
        <w:rPr>
          <w:lang w:val="fi-FI"/>
        </w:rPr>
        <w:t>Avustusta voidaan myöntää:</w:t>
      </w:r>
      <w:r w:rsidRPr="0079472B">
        <w:t> </w:t>
      </w:r>
    </w:p>
    <w:p w14:paraId="70393F66" w14:textId="77777777" w:rsidR="006E2CF3" w:rsidRPr="0079472B" w:rsidRDefault="006E2CF3" w:rsidP="006E2CF3">
      <w:pPr>
        <w:numPr>
          <w:ilvl w:val="0"/>
          <w:numId w:val="1"/>
        </w:numPr>
        <w:rPr>
          <w:lang w:val="fi-FI"/>
        </w:rPr>
      </w:pPr>
      <w:r w:rsidRPr="0079472B">
        <w:rPr>
          <w:lang w:val="fi-FI"/>
        </w:rPr>
        <w:t>tapahtumiin, jotka vahvistavat Kemiönsaaren brändiä asuinkuntana ja käyntikohteena </w:t>
      </w:r>
    </w:p>
    <w:p w14:paraId="5F42103B" w14:textId="77777777" w:rsidR="006E2CF3" w:rsidRPr="0079472B" w:rsidRDefault="006E2CF3" w:rsidP="006E2CF3">
      <w:pPr>
        <w:numPr>
          <w:ilvl w:val="0"/>
          <w:numId w:val="2"/>
        </w:numPr>
        <w:rPr>
          <w:lang w:val="fi-FI"/>
        </w:rPr>
      </w:pPr>
      <w:r w:rsidRPr="0079472B">
        <w:rPr>
          <w:lang w:val="fi-FI"/>
        </w:rPr>
        <w:t>tapahtumiin, joilla on kunnallista, seudullista, valtakunnallista tai kansainvälistä merkitystä </w:t>
      </w:r>
    </w:p>
    <w:p w14:paraId="0475A218" w14:textId="77777777" w:rsidR="006E2CF3" w:rsidRPr="0079472B" w:rsidRDefault="006E2CF3" w:rsidP="006E2CF3">
      <w:pPr>
        <w:numPr>
          <w:ilvl w:val="0"/>
          <w:numId w:val="3"/>
        </w:numPr>
      </w:pPr>
      <w:r w:rsidRPr="0079472B">
        <w:rPr>
          <w:lang w:val="fi-FI"/>
        </w:rPr>
        <w:t>matkailutaloutta ja matkailuelinkeinoa edistäviin hankkeisiin</w:t>
      </w:r>
      <w:r w:rsidRPr="0079472B">
        <w:t> </w:t>
      </w:r>
    </w:p>
    <w:p w14:paraId="2FD83375" w14:textId="77777777" w:rsidR="006E2CF3" w:rsidRPr="0079472B" w:rsidRDefault="006E2CF3" w:rsidP="006E2CF3">
      <w:pPr>
        <w:numPr>
          <w:ilvl w:val="0"/>
          <w:numId w:val="4"/>
        </w:numPr>
        <w:rPr>
          <w:lang w:val="fi-FI"/>
        </w:rPr>
      </w:pPr>
      <w:r w:rsidRPr="0079472B">
        <w:rPr>
          <w:lang w:val="fi-FI"/>
        </w:rPr>
        <w:t>uusiin, tapahtumaelämää kehittäviin aloitteisiin ja ideoihin </w:t>
      </w:r>
    </w:p>
    <w:p w14:paraId="143AE6F3" w14:textId="77777777" w:rsidR="006E2CF3" w:rsidRPr="0079472B" w:rsidRDefault="006E2CF3" w:rsidP="006E2CF3">
      <w:pPr>
        <w:numPr>
          <w:ilvl w:val="0"/>
          <w:numId w:val="5"/>
        </w:numPr>
        <w:rPr>
          <w:lang w:val="fi-FI"/>
        </w:rPr>
      </w:pPr>
      <w:r w:rsidRPr="0079472B">
        <w:rPr>
          <w:lang w:val="fi-FI"/>
        </w:rPr>
        <w:t>tilakustannuksiin, tekniikkaan, artistien palkkioihin, markkinointiin ja muihin vastaaviin kustannuksiin. </w:t>
      </w:r>
    </w:p>
    <w:p w14:paraId="32BAAAC8" w14:textId="77777777" w:rsidR="006E2CF3" w:rsidRPr="0079472B" w:rsidRDefault="006E2CF3" w:rsidP="006E2CF3">
      <w:r w:rsidRPr="0079472B">
        <w:rPr>
          <w:lang w:val="fi-FI"/>
        </w:rPr>
        <w:t>Avustusta ei myönnetä:</w:t>
      </w:r>
      <w:r w:rsidRPr="0079472B">
        <w:t> </w:t>
      </w:r>
    </w:p>
    <w:p w14:paraId="3E367E77" w14:textId="77777777" w:rsidR="006E2CF3" w:rsidRPr="0079472B" w:rsidRDefault="006E2CF3" w:rsidP="006E2CF3">
      <w:pPr>
        <w:numPr>
          <w:ilvl w:val="0"/>
          <w:numId w:val="6"/>
        </w:numPr>
      </w:pPr>
      <w:r w:rsidRPr="0079472B">
        <w:rPr>
          <w:lang w:val="fi-FI"/>
        </w:rPr>
        <w:t>kunnan muita tukia saaviin tapahtumiin</w:t>
      </w:r>
      <w:r w:rsidRPr="0079472B">
        <w:t> </w:t>
      </w:r>
    </w:p>
    <w:p w14:paraId="4B9E83D4" w14:textId="77777777" w:rsidR="006E2CF3" w:rsidRPr="0079472B" w:rsidRDefault="006E2CF3" w:rsidP="006E2CF3">
      <w:pPr>
        <w:numPr>
          <w:ilvl w:val="0"/>
          <w:numId w:val="7"/>
        </w:numPr>
        <w:rPr>
          <w:lang w:val="fi-FI"/>
        </w:rPr>
      </w:pPr>
      <w:r w:rsidRPr="0079472B">
        <w:rPr>
          <w:lang w:val="fi-FI"/>
        </w:rPr>
        <w:t>järjestäjän tai sen jäsenten omiin palkkioihin </w:t>
      </w:r>
    </w:p>
    <w:p w14:paraId="1B344BBC" w14:textId="77777777" w:rsidR="006E2CF3" w:rsidRPr="0079472B" w:rsidRDefault="006E2CF3" w:rsidP="006E2CF3">
      <w:pPr>
        <w:numPr>
          <w:ilvl w:val="0"/>
          <w:numId w:val="8"/>
        </w:numPr>
        <w:rPr>
          <w:lang w:val="fi-FI"/>
        </w:rPr>
      </w:pPr>
      <w:r w:rsidRPr="0079472B">
        <w:rPr>
          <w:lang w:val="fi-FI"/>
        </w:rPr>
        <w:t>kunnan järjestämiin tai ns. suljettuihin tapahtumiin </w:t>
      </w:r>
    </w:p>
    <w:p w14:paraId="404A3E78" w14:textId="77777777" w:rsidR="006E2CF3" w:rsidRPr="0079472B" w:rsidRDefault="006E2CF3" w:rsidP="006E2CF3">
      <w:pPr>
        <w:numPr>
          <w:ilvl w:val="0"/>
          <w:numId w:val="9"/>
        </w:numPr>
        <w:rPr>
          <w:lang w:val="fi-FI"/>
        </w:rPr>
      </w:pPr>
      <w:r w:rsidRPr="0079472B">
        <w:rPr>
          <w:lang w:val="fi-FI"/>
        </w:rPr>
        <w:t>hankkeisiin, jotka on jo käynnistetty ennen avustuksen hakemista </w:t>
      </w:r>
    </w:p>
    <w:p w14:paraId="7B4B4CE5" w14:textId="77777777" w:rsidR="006E2CF3" w:rsidRPr="0079472B" w:rsidRDefault="006E2CF3" w:rsidP="006E2CF3">
      <w:pPr>
        <w:numPr>
          <w:ilvl w:val="0"/>
          <w:numId w:val="10"/>
        </w:numPr>
        <w:rPr>
          <w:lang w:val="fi-FI"/>
        </w:rPr>
      </w:pPr>
      <w:r w:rsidRPr="0079472B">
        <w:rPr>
          <w:lang w:val="fi-FI"/>
        </w:rPr>
        <w:t>muihin kuin kunnan alueella järjestettäviin tapahtumiin </w:t>
      </w:r>
    </w:p>
    <w:p w14:paraId="12D1DC17" w14:textId="77777777" w:rsidR="006E2CF3" w:rsidRPr="0079472B" w:rsidRDefault="006E2CF3" w:rsidP="006E2CF3">
      <w:pPr>
        <w:numPr>
          <w:ilvl w:val="0"/>
          <w:numId w:val="11"/>
        </w:numPr>
        <w:rPr>
          <w:lang w:val="fi-FI"/>
        </w:rPr>
      </w:pPr>
      <w:r w:rsidRPr="0079472B">
        <w:rPr>
          <w:lang w:val="fi-FI"/>
        </w:rPr>
        <w:t>toistuviin tapahtumiin (yli kaksi kertaa) </w:t>
      </w:r>
    </w:p>
    <w:p w14:paraId="17F50B3E" w14:textId="77777777" w:rsidR="006E2CF3" w:rsidRPr="0079472B" w:rsidRDefault="006E2CF3" w:rsidP="006E2CF3">
      <w:pPr>
        <w:numPr>
          <w:ilvl w:val="0"/>
          <w:numId w:val="12"/>
        </w:numPr>
      </w:pPr>
      <w:r w:rsidRPr="0079472B">
        <w:rPr>
          <w:lang w:val="fi-FI"/>
        </w:rPr>
        <w:t>toimitsijoiden ruokakustannuksiin tai etuuksiin</w:t>
      </w:r>
      <w:r w:rsidRPr="0079472B">
        <w:t> </w:t>
      </w:r>
    </w:p>
    <w:p w14:paraId="2EBCF56F" w14:textId="77777777" w:rsidR="006E2CF3" w:rsidRPr="0079472B" w:rsidRDefault="006E2CF3" w:rsidP="006E2CF3">
      <w:pPr>
        <w:numPr>
          <w:ilvl w:val="0"/>
          <w:numId w:val="13"/>
        </w:numPr>
      </w:pPr>
      <w:r w:rsidRPr="0079472B">
        <w:rPr>
          <w:lang w:val="fi-FI"/>
        </w:rPr>
        <w:t>järjestäjien oman tilan kustannuksiin.</w:t>
      </w:r>
      <w:r w:rsidRPr="0079472B">
        <w:t> </w:t>
      </w:r>
    </w:p>
    <w:p w14:paraId="222067BC" w14:textId="77777777" w:rsidR="006E2CF3" w:rsidRDefault="006E2CF3" w:rsidP="006E2CF3">
      <w:pPr>
        <w:rPr>
          <w:b/>
          <w:bCs/>
          <w:lang w:val="fi-FI"/>
        </w:rPr>
      </w:pPr>
    </w:p>
    <w:p w14:paraId="50386AEB" w14:textId="77777777" w:rsidR="006E2CF3" w:rsidRPr="0079472B" w:rsidRDefault="006E2CF3" w:rsidP="006E2CF3">
      <w:r w:rsidRPr="0079472B">
        <w:rPr>
          <w:b/>
          <w:bCs/>
          <w:lang w:val="fi-FI"/>
        </w:rPr>
        <w:t>Hakuajat</w:t>
      </w:r>
      <w:r w:rsidRPr="0079472B">
        <w:t> </w:t>
      </w:r>
    </w:p>
    <w:p w14:paraId="1F6A881F" w14:textId="421A5EE5" w:rsidR="006E2CF3" w:rsidRPr="0079472B" w:rsidRDefault="006E2CF3" w:rsidP="006E2CF3">
      <w:pPr>
        <w:rPr>
          <w:lang w:val="fi-FI"/>
        </w:rPr>
      </w:pPr>
      <w:r w:rsidRPr="0079472B">
        <w:rPr>
          <w:lang w:val="fi-FI"/>
        </w:rPr>
        <w:t>Tammi–toukokuussa 2026 järjestettävät tapahtumat: hakuaika 1.–31.12.</w:t>
      </w:r>
    </w:p>
    <w:p w14:paraId="54F4E36E" w14:textId="63D87C4A" w:rsidR="006E2CF3" w:rsidRPr="0079472B" w:rsidRDefault="006E2CF3" w:rsidP="006E2CF3">
      <w:pPr>
        <w:rPr>
          <w:lang w:val="fi-FI"/>
        </w:rPr>
      </w:pPr>
      <w:r w:rsidRPr="0079472B">
        <w:rPr>
          <w:lang w:val="fi-FI"/>
        </w:rPr>
        <w:t>Loka–joulukuussa 2026 järjestettävät tapahtumat: hakuaika 1.–31.8.</w:t>
      </w:r>
    </w:p>
    <w:p w14:paraId="51C5C874" w14:textId="77777777" w:rsidR="006E2CF3" w:rsidRPr="0079472B" w:rsidRDefault="006E2CF3" w:rsidP="006E2CF3">
      <w:pPr>
        <w:rPr>
          <w:lang w:val="fi-FI"/>
        </w:rPr>
      </w:pPr>
      <w:r w:rsidRPr="0079472B">
        <w:rPr>
          <w:lang w:val="fi-FI"/>
        </w:rPr>
        <w:t>Hakemukset lähetetään Kemiönsaaren kunnan elinkeino-osastolle. </w:t>
      </w:r>
    </w:p>
    <w:p w14:paraId="2BA7EDA6" w14:textId="77777777" w:rsidR="006E2CF3" w:rsidRDefault="006E2CF3" w:rsidP="006E2CF3">
      <w:pPr>
        <w:rPr>
          <w:b/>
          <w:bCs/>
          <w:lang w:val="fi-FI"/>
        </w:rPr>
      </w:pPr>
    </w:p>
    <w:p w14:paraId="56BE9B63" w14:textId="77777777" w:rsidR="006E2CF3" w:rsidRDefault="006E2CF3" w:rsidP="006E2CF3">
      <w:pPr>
        <w:rPr>
          <w:b/>
          <w:bCs/>
          <w:lang w:val="fi-FI"/>
        </w:rPr>
      </w:pPr>
    </w:p>
    <w:p w14:paraId="0A08ADFA" w14:textId="77777777" w:rsidR="006E2CF3" w:rsidRDefault="006E2CF3" w:rsidP="006E2CF3">
      <w:pPr>
        <w:rPr>
          <w:b/>
          <w:bCs/>
          <w:lang w:val="fi-FI"/>
        </w:rPr>
      </w:pPr>
    </w:p>
    <w:p w14:paraId="6454B52C" w14:textId="695C03BF" w:rsidR="006E2CF3" w:rsidRPr="0079472B" w:rsidRDefault="006E2CF3" w:rsidP="006E2CF3">
      <w:r w:rsidRPr="0079472B">
        <w:rPr>
          <w:b/>
          <w:bCs/>
          <w:lang w:val="fi-FI"/>
        </w:rPr>
        <w:t>Tukitasot</w:t>
      </w:r>
      <w:r w:rsidRPr="0079472B">
        <w:t> </w:t>
      </w:r>
    </w:p>
    <w:p w14:paraId="20B737D9" w14:textId="77777777" w:rsidR="006E2CF3" w:rsidRPr="0079472B" w:rsidRDefault="006E2CF3" w:rsidP="006E2CF3">
      <w:pPr>
        <w:numPr>
          <w:ilvl w:val="0"/>
          <w:numId w:val="14"/>
        </w:numPr>
      </w:pPr>
      <w:r w:rsidRPr="0079472B">
        <w:rPr>
          <w:lang w:val="fi-FI"/>
        </w:rPr>
        <w:t>enintään 30 % tapahtuman kokonaisbudjetista</w:t>
      </w:r>
      <w:r w:rsidRPr="0079472B">
        <w:t> </w:t>
      </w:r>
    </w:p>
    <w:p w14:paraId="2FE631A9" w14:textId="77777777" w:rsidR="006E2CF3" w:rsidRPr="0079472B" w:rsidRDefault="006E2CF3" w:rsidP="006E2CF3">
      <w:pPr>
        <w:numPr>
          <w:ilvl w:val="0"/>
          <w:numId w:val="15"/>
        </w:numPr>
      </w:pPr>
      <w:r w:rsidRPr="0079472B">
        <w:rPr>
          <w:lang w:val="fi-FI"/>
        </w:rPr>
        <w:t>Kemiönsaaren yhdistykset: enintään 50 %</w:t>
      </w:r>
      <w:r w:rsidRPr="0079472B">
        <w:t> </w:t>
      </w:r>
    </w:p>
    <w:p w14:paraId="3D805D62" w14:textId="77777777" w:rsidR="00253F3E" w:rsidRPr="008E4FB4" w:rsidRDefault="00253F3E" w:rsidP="008D30F8">
      <w:pPr>
        <w:rPr>
          <w:lang w:val="fi-FI"/>
        </w:rPr>
      </w:pPr>
    </w:p>
    <w:p w14:paraId="5F0C970E" w14:textId="77777777" w:rsidR="00093E25" w:rsidRPr="0079472B" w:rsidRDefault="00093E25" w:rsidP="00093E25">
      <w:r w:rsidRPr="0079472B">
        <w:rPr>
          <w:b/>
          <w:bCs/>
          <w:lang w:val="fi-FI"/>
        </w:rPr>
        <w:t>Arviointi</w:t>
      </w:r>
      <w:r w:rsidRPr="0079472B">
        <w:t> </w:t>
      </w:r>
    </w:p>
    <w:p w14:paraId="010BE35C" w14:textId="77777777" w:rsidR="00093E25" w:rsidRPr="0079472B" w:rsidRDefault="00093E25" w:rsidP="00093E25">
      <w:r w:rsidRPr="0079472B">
        <w:rPr>
          <w:lang w:val="fi-FI"/>
        </w:rPr>
        <w:t>Arvioinnin osa-alueet ja painotus</w:t>
      </w:r>
      <w:r w:rsidRPr="0079472B"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2078"/>
        <w:gridCol w:w="3840"/>
      </w:tblGrid>
      <w:tr w:rsidR="00093E25" w:rsidRPr="0079472B" w14:paraId="105A2FEF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401DE9C8" w14:textId="77777777" w:rsidR="00093E25" w:rsidRPr="0079472B" w:rsidRDefault="00093E25" w:rsidP="009F1DA1">
            <w:r w:rsidRPr="0079472B">
              <w:rPr>
                <w:b/>
                <w:bCs/>
                <w:lang w:val="fi-FI"/>
              </w:rPr>
              <w:t>Osa-alue</w:t>
            </w:r>
            <w:r w:rsidRPr="0079472B">
              <w:t> </w:t>
            </w:r>
          </w:p>
        </w:tc>
        <w:tc>
          <w:tcPr>
            <w:tcW w:w="1635" w:type="dxa"/>
            <w:vAlign w:val="center"/>
            <w:hideMark/>
          </w:tcPr>
          <w:p w14:paraId="569E81B0" w14:textId="77777777" w:rsidR="00093E25" w:rsidRPr="0079472B" w:rsidRDefault="00093E25" w:rsidP="009F1DA1">
            <w:r w:rsidRPr="0079472B">
              <w:rPr>
                <w:b/>
                <w:bCs/>
                <w:lang w:val="fi-FI"/>
              </w:rPr>
              <w:t>Painotus kokonaispisteissä</w:t>
            </w:r>
            <w:r w:rsidRPr="0079472B">
              <w:t> </w:t>
            </w:r>
          </w:p>
        </w:tc>
        <w:tc>
          <w:tcPr>
            <w:tcW w:w="4230" w:type="dxa"/>
            <w:vAlign w:val="center"/>
            <w:hideMark/>
          </w:tcPr>
          <w:p w14:paraId="19E20EB0" w14:textId="77777777" w:rsidR="00093E25" w:rsidRPr="0079472B" w:rsidRDefault="00093E25" w:rsidP="009F1DA1">
            <w:r w:rsidRPr="0079472B">
              <w:rPr>
                <w:b/>
                <w:bCs/>
                <w:lang w:val="fi-FI"/>
              </w:rPr>
              <w:t>Kuvaus</w:t>
            </w:r>
            <w:r w:rsidRPr="0079472B">
              <w:t> </w:t>
            </w:r>
          </w:p>
        </w:tc>
      </w:tr>
      <w:tr w:rsidR="00093E25" w:rsidRPr="008E2832" w14:paraId="5382F557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6EEDADED" w14:textId="77777777" w:rsidR="00093E25" w:rsidRPr="0079472B" w:rsidRDefault="00093E25" w:rsidP="009F1DA1">
            <w:pPr>
              <w:jc w:val="left"/>
            </w:pPr>
            <w:r w:rsidRPr="0079472B">
              <w:rPr>
                <w:b/>
                <w:bCs/>
                <w:lang w:val="fi-FI"/>
              </w:rPr>
              <w:t>A. Yhteys kunnan strategiaan</w:t>
            </w:r>
            <w:r w:rsidRPr="0079472B">
              <w:t> </w:t>
            </w:r>
          </w:p>
        </w:tc>
        <w:tc>
          <w:tcPr>
            <w:tcW w:w="1635" w:type="dxa"/>
            <w:vAlign w:val="center"/>
            <w:hideMark/>
          </w:tcPr>
          <w:p w14:paraId="2F364F97" w14:textId="77777777" w:rsidR="00093E25" w:rsidRPr="0079472B" w:rsidRDefault="00093E25" w:rsidP="009F1DA1">
            <w:r w:rsidRPr="0079472B">
              <w:t>25 % </w:t>
            </w:r>
          </w:p>
        </w:tc>
        <w:tc>
          <w:tcPr>
            <w:tcW w:w="4230" w:type="dxa"/>
            <w:vAlign w:val="center"/>
            <w:hideMark/>
          </w:tcPr>
          <w:p w14:paraId="51981C4F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Kuinka hyvin tapahtuma tukee strategiassa asetettuja houkuttelevaa asuinkuntaa, elinvoimaa, yhteisöllisyyttä ja matkailua koskevia tavoitteita. </w:t>
            </w:r>
          </w:p>
        </w:tc>
      </w:tr>
      <w:tr w:rsidR="00093E25" w:rsidRPr="008E2832" w14:paraId="4D1C5880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620AE0FF" w14:textId="77777777" w:rsidR="00093E25" w:rsidRPr="0079472B" w:rsidRDefault="00093E25" w:rsidP="009F1DA1">
            <w:pPr>
              <w:jc w:val="left"/>
            </w:pPr>
            <w:r w:rsidRPr="0079472B">
              <w:rPr>
                <w:b/>
                <w:bCs/>
                <w:lang w:val="fi-FI"/>
              </w:rPr>
              <w:t>B. Näkyvyys ja laajuus</w:t>
            </w:r>
            <w:r w:rsidRPr="0079472B">
              <w:t> </w:t>
            </w:r>
          </w:p>
        </w:tc>
        <w:tc>
          <w:tcPr>
            <w:tcW w:w="1635" w:type="dxa"/>
            <w:vAlign w:val="center"/>
            <w:hideMark/>
          </w:tcPr>
          <w:p w14:paraId="56668109" w14:textId="77777777" w:rsidR="00093E25" w:rsidRPr="0079472B" w:rsidRDefault="00093E25" w:rsidP="009F1DA1">
            <w:r w:rsidRPr="0079472B">
              <w:t>20 % </w:t>
            </w:r>
          </w:p>
        </w:tc>
        <w:tc>
          <w:tcPr>
            <w:tcW w:w="4230" w:type="dxa"/>
            <w:vAlign w:val="center"/>
            <w:hideMark/>
          </w:tcPr>
          <w:p w14:paraId="35710D69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Kuinka hyvin tapahtuma saavuttaa laajan yleisön, median ja matkailijat. </w:t>
            </w:r>
          </w:p>
        </w:tc>
      </w:tr>
      <w:tr w:rsidR="00093E25" w:rsidRPr="0079472B" w14:paraId="3F83064C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537BFACB" w14:textId="77777777" w:rsidR="00093E25" w:rsidRPr="0079472B" w:rsidRDefault="00093E25" w:rsidP="009F1DA1">
            <w:pPr>
              <w:jc w:val="left"/>
              <w:rPr>
                <w:lang w:val="fi-FI"/>
              </w:rPr>
            </w:pPr>
            <w:r w:rsidRPr="0079472B">
              <w:rPr>
                <w:b/>
                <w:bCs/>
                <w:lang w:val="fi-FI"/>
              </w:rPr>
              <w:t>C. Saavutettavuus, esteettömyys ja osallistavuus</w:t>
            </w:r>
            <w:r w:rsidRPr="0079472B">
              <w:rPr>
                <w:lang w:val="fi-FI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14:paraId="565124D9" w14:textId="77777777" w:rsidR="00093E25" w:rsidRPr="0079472B" w:rsidRDefault="00093E25" w:rsidP="009F1DA1">
            <w:r w:rsidRPr="0079472B">
              <w:t>15 % </w:t>
            </w:r>
          </w:p>
        </w:tc>
        <w:tc>
          <w:tcPr>
            <w:tcW w:w="4230" w:type="dxa"/>
            <w:vAlign w:val="center"/>
            <w:hideMark/>
          </w:tcPr>
          <w:p w14:paraId="01FF7047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Kuinka hyvin tapahtuma on avoin kaikenikäisille, eri kieliä ja ryhmiä edustaville, ml. Vammaiset. </w:t>
            </w:r>
          </w:p>
        </w:tc>
      </w:tr>
      <w:tr w:rsidR="00093E25" w:rsidRPr="008E2832" w14:paraId="1DA00DAB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2095556D" w14:textId="77777777" w:rsidR="00093E25" w:rsidRPr="0079472B" w:rsidRDefault="00093E25" w:rsidP="009F1DA1">
            <w:pPr>
              <w:jc w:val="left"/>
              <w:rPr>
                <w:lang w:val="fi-FI"/>
              </w:rPr>
            </w:pPr>
            <w:r w:rsidRPr="0079472B">
              <w:rPr>
                <w:b/>
                <w:bCs/>
                <w:lang w:val="fi-FI"/>
              </w:rPr>
              <w:t>D. Edistää kunnan houkuttelevuutta käynti- ja muuttokohteena</w:t>
            </w:r>
            <w:r w:rsidRPr="0079472B">
              <w:rPr>
                <w:lang w:val="fi-FI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14:paraId="1BFAE97A" w14:textId="77777777" w:rsidR="00093E25" w:rsidRPr="0079472B" w:rsidRDefault="00093E25" w:rsidP="009F1DA1">
            <w:r w:rsidRPr="0079472B">
              <w:t>20 % </w:t>
            </w:r>
          </w:p>
        </w:tc>
        <w:tc>
          <w:tcPr>
            <w:tcW w:w="4230" w:type="dxa"/>
            <w:vAlign w:val="center"/>
            <w:hideMark/>
          </w:tcPr>
          <w:p w14:paraId="03DBAD9D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Kuinka hyvin tapahtuma vahvistaa Kemiönsaaren brändiä käyntikohteena tai asuin- ja elinpaikkana. </w:t>
            </w:r>
          </w:p>
        </w:tc>
      </w:tr>
      <w:tr w:rsidR="00093E25" w:rsidRPr="008E2832" w14:paraId="2CBC52DE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2039245A" w14:textId="77777777" w:rsidR="00093E25" w:rsidRPr="0079472B" w:rsidRDefault="00093E25" w:rsidP="009F1DA1">
            <w:pPr>
              <w:jc w:val="left"/>
            </w:pPr>
            <w:r w:rsidRPr="0079472B">
              <w:rPr>
                <w:b/>
                <w:bCs/>
                <w:lang w:val="fi-FI"/>
              </w:rPr>
              <w:t>E. Uudistuminen ja kestävyys</w:t>
            </w:r>
            <w:r w:rsidRPr="0079472B">
              <w:t> </w:t>
            </w:r>
          </w:p>
        </w:tc>
        <w:tc>
          <w:tcPr>
            <w:tcW w:w="1635" w:type="dxa"/>
            <w:vAlign w:val="center"/>
            <w:hideMark/>
          </w:tcPr>
          <w:p w14:paraId="4B345242" w14:textId="77777777" w:rsidR="00093E25" w:rsidRPr="0079472B" w:rsidRDefault="00093E25" w:rsidP="009F1DA1">
            <w:r w:rsidRPr="0079472B">
              <w:t>10 % </w:t>
            </w:r>
          </w:p>
        </w:tc>
        <w:tc>
          <w:tcPr>
            <w:tcW w:w="4230" w:type="dxa"/>
            <w:vAlign w:val="center"/>
            <w:hideMark/>
          </w:tcPr>
          <w:p w14:paraId="31448558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Innovatiiviset ideat, pitkäjänteinen kehitys ja ympäristön kestävä kehitys. </w:t>
            </w:r>
          </w:p>
        </w:tc>
      </w:tr>
      <w:tr w:rsidR="00093E25" w:rsidRPr="008E2832" w14:paraId="596A8D94" w14:textId="77777777" w:rsidTr="00AF2E46">
        <w:trPr>
          <w:trHeight w:val="300"/>
        </w:trPr>
        <w:tc>
          <w:tcPr>
            <w:tcW w:w="3180" w:type="dxa"/>
            <w:vAlign w:val="center"/>
            <w:hideMark/>
          </w:tcPr>
          <w:p w14:paraId="4FC3D694" w14:textId="77777777" w:rsidR="00093E25" w:rsidRPr="0079472B" w:rsidRDefault="00093E25" w:rsidP="009F1DA1">
            <w:pPr>
              <w:jc w:val="left"/>
            </w:pPr>
            <w:r w:rsidRPr="0079472B">
              <w:rPr>
                <w:b/>
                <w:bCs/>
                <w:lang w:val="fi-FI"/>
              </w:rPr>
              <w:t>F. Toteuttamiskelpoisuus ja talous</w:t>
            </w:r>
            <w:r w:rsidRPr="0079472B">
              <w:t> </w:t>
            </w:r>
          </w:p>
        </w:tc>
        <w:tc>
          <w:tcPr>
            <w:tcW w:w="1635" w:type="dxa"/>
            <w:vAlign w:val="center"/>
            <w:hideMark/>
          </w:tcPr>
          <w:p w14:paraId="270BD3FE" w14:textId="77777777" w:rsidR="00093E25" w:rsidRPr="0079472B" w:rsidRDefault="00093E25" w:rsidP="009F1DA1">
            <w:r w:rsidRPr="0079472B">
              <w:t>10 % </w:t>
            </w:r>
          </w:p>
        </w:tc>
        <w:tc>
          <w:tcPr>
            <w:tcW w:w="4230" w:type="dxa"/>
            <w:vAlign w:val="center"/>
            <w:hideMark/>
          </w:tcPr>
          <w:p w14:paraId="0BD08427" w14:textId="77777777" w:rsidR="00093E25" w:rsidRPr="0079472B" w:rsidRDefault="00093E25" w:rsidP="009F1DA1">
            <w:pPr>
              <w:rPr>
                <w:lang w:val="fi-FI"/>
              </w:rPr>
            </w:pPr>
            <w:r w:rsidRPr="0079472B">
              <w:rPr>
                <w:lang w:val="fi-FI"/>
              </w:rPr>
              <w:t>Realistinen suunnitelma, budjetti, yhteisrahoitus ja vastuunjako. </w:t>
            </w:r>
          </w:p>
        </w:tc>
      </w:tr>
    </w:tbl>
    <w:p w14:paraId="67C6568E" w14:textId="77777777" w:rsidR="00093E25" w:rsidRDefault="00093E25" w:rsidP="00093E25">
      <w:pPr>
        <w:rPr>
          <w:i/>
          <w:iCs/>
          <w:lang w:val="fi-FI"/>
        </w:rPr>
      </w:pPr>
    </w:p>
    <w:p w14:paraId="3EF38617" w14:textId="77777777" w:rsidR="00093E25" w:rsidRPr="0079472B" w:rsidRDefault="00093E25" w:rsidP="00093E25">
      <w:pPr>
        <w:rPr>
          <w:lang w:val="fi-FI"/>
        </w:rPr>
      </w:pPr>
      <w:r w:rsidRPr="0079472B">
        <w:rPr>
          <w:i/>
          <w:iCs/>
          <w:lang w:val="fi-FI"/>
        </w:rPr>
        <w:t>Yhteispisteet </w:t>
      </w:r>
      <w:r w:rsidRPr="0079472B">
        <w:rPr>
          <w:lang w:val="fi-FI"/>
        </w:rPr>
        <w:t>lasketaan eri osa-alueiden (pisteet x painotus) yhteissummasta. Kukin osa-alue (A–F) pisteytetään asteikolla 1–5. </w:t>
      </w:r>
    </w:p>
    <w:p w14:paraId="1F6BE78A" w14:textId="77777777" w:rsidR="00093E25" w:rsidRDefault="00093E25" w:rsidP="00093E25">
      <w:pPr>
        <w:rPr>
          <w:lang w:val="fi-FI"/>
        </w:rPr>
      </w:pPr>
    </w:p>
    <w:p w14:paraId="099E620B" w14:textId="77777777" w:rsidR="00093E25" w:rsidRPr="0079472B" w:rsidRDefault="00093E25" w:rsidP="00093E25">
      <w:pPr>
        <w:rPr>
          <w:lang w:val="fi-FI"/>
        </w:rPr>
      </w:pPr>
      <w:r w:rsidRPr="0079472B">
        <w:rPr>
          <w:lang w:val="fi-FI"/>
        </w:rPr>
        <w:t>Näin saadaan läpinäkyvä, vertailukelpoinen ja strategialähtöinen arviointi, jossa priorisoidaan hakemukset, jotka vahvistavat parhaiten Kemiönsaaren elinvoimaisuutta, näkyvyyttä ja houkuttelevuutta. </w:t>
      </w:r>
    </w:p>
    <w:p w14:paraId="0B7A71F1" w14:textId="77777777" w:rsidR="00253F3E" w:rsidRPr="008E4FB4" w:rsidRDefault="00253F3E" w:rsidP="008D30F8">
      <w:pPr>
        <w:rPr>
          <w:lang w:val="fi-FI"/>
        </w:rPr>
      </w:pPr>
    </w:p>
    <w:sectPr w:rsidR="00253F3E" w:rsidRPr="008E4FB4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C482" w14:textId="77777777" w:rsidR="004A53DA" w:rsidRDefault="004A53DA" w:rsidP="008D30F8">
      <w:r>
        <w:separator/>
      </w:r>
    </w:p>
  </w:endnote>
  <w:endnote w:type="continuationSeparator" w:id="0">
    <w:p w14:paraId="6418E076" w14:textId="77777777" w:rsidR="004A53DA" w:rsidRDefault="004A53DA" w:rsidP="008D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A1C3" w14:textId="77777777" w:rsidR="004A53DA" w:rsidRDefault="004A53DA" w:rsidP="008D30F8">
      <w:r>
        <w:separator/>
      </w:r>
    </w:p>
  </w:footnote>
  <w:footnote w:type="continuationSeparator" w:id="0">
    <w:p w14:paraId="7BD3CE74" w14:textId="77777777" w:rsidR="004A53DA" w:rsidRDefault="004A53DA" w:rsidP="008D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30D1" w14:textId="103BA236" w:rsidR="00253F3E" w:rsidRDefault="00000000" w:rsidP="008D30F8">
    <w:pPr>
      <w:pStyle w:val="Sidhuvud"/>
    </w:pPr>
    <w:r>
      <w:rPr>
        <w:noProof/>
      </w:rPr>
      <w:pict w14:anchorId="5ACAA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mitoöns_a4_botten_ilm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FF8" w14:textId="7BA28986" w:rsidR="00253F3E" w:rsidRDefault="00BF78A9" w:rsidP="008D30F8">
    <w:pPr>
      <w:pStyle w:val="Sidhuvud"/>
    </w:pPr>
    <w:r>
      <w:rPr>
        <w:noProof/>
      </w:rPr>
      <w:drawing>
        <wp:anchor distT="0" distB="0" distL="0" distR="0" simplePos="0" relativeHeight="251667456" behindDoc="0" locked="0" layoutInCell="1" allowOverlap="1" wp14:anchorId="0A73DFE0" wp14:editId="04C98D76">
          <wp:simplePos x="0" y="0"/>
          <wp:positionH relativeFrom="column">
            <wp:posOffset>0</wp:posOffset>
          </wp:positionH>
          <wp:positionV relativeFrom="page">
            <wp:posOffset>443230</wp:posOffset>
          </wp:positionV>
          <wp:extent cx="2714400" cy="997200"/>
          <wp:effectExtent l="0" t="0" r="0" b="0"/>
          <wp:wrapThrough wrapText="bothSides">
            <wp:wrapPolygon edited="0">
              <wp:start x="910" y="2476"/>
              <wp:lineTo x="910" y="12382"/>
              <wp:lineTo x="1415" y="16234"/>
              <wp:lineTo x="2628" y="18436"/>
              <wp:lineTo x="2830" y="18986"/>
              <wp:lineTo x="4346" y="18986"/>
              <wp:lineTo x="4447" y="18436"/>
              <wp:lineTo x="5660" y="16510"/>
              <wp:lineTo x="16577" y="16234"/>
              <wp:lineTo x="20721" y="15134"/>
              <wp:lineTo x="20822" y="10731"/>
              <wp:lineTo x="19912" y="9631"/>
              <wp:lineTo x="16981" y="7429"/>
              <wp:lineTo x="17183" y="5228"/>
              <wp:lineTo x="14959" y="4403"/>
              <wp:lineTo x="6267" y="2476"/>
              <wp:lineTo x="910" y="2476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4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F963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95.25pt;height:841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mitoöns_a4_botten_ilman"/>
          <w10:wrap anchorx="margin" anchory="margin"/>
        </v:shape>
      </w:pict>
    </w:r>
    <w:r w:rsidR="00253F3E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401E" w14:textId="2D2A4856" w:rsidR="00253F3E" w:rsidRDefault="00000000" w:rsidP="008D30F8">
    <w:pPr>
      <w:pStyle w:val="Sidhuvud"/>
    </w:pPr>
    <w:r>
      <w:rPr>
        <w:noProof/>
      </w:rPr>
      <w:pict w14:anchorId="4A25D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mitoöns_a4_botten_ilm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6FB"/>
    <w:multiLevelType w:val="multilevel"/>
    <w:tmpl w:val="F996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8C688E"/>
    <w:multiLevelType w:val="multilevel"/>
    <w:tmpl w:val="9EB6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81B68"/>
    <w:multiLevelType w:val="multilevel"/>
    <w:tmpl w:val="3CE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1551"/>
    <w:multiLevelType w:val="multilevel"/>
    <w:tmpl w:val="15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3605A"/>
    <w:multiLevelType w:val="multilevel"/>
    <w:tmpl w:val="514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9C103D"/>
    <w:multiLevelType w:val="multilevel"/>
    <w:tmpl w:val="7008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85B8C"/>
    <w:multiLevelType w:val="multilevel"/>
    <w:tmpl w:val="97C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33887"/>
    <w:multiLevelType w:val="multilevel"/>
    <w:tmpl w:val="974C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366D2"/>
    <w:multiLevelType w:val="multilevel"/>
    <w:tmpl w:val="956A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DC3128"/>
    <w:multiLevelType w:val="multilevel"/>
    <w:tmpl w:val="32F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9F33B7"/>
    <w:multiLevelType w:val="multilevel"/>
    <w:tmpl w:val="741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EA0016"/>
    <w:multiLevelType w:val="multilevel"/>
    <w:tmpl w:val="D1E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765856"/>
    <w:multiLevelType w:val="multilevel"/>
    <w:tmpl w:val="25E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615E85"/>
    <w:multiLevelType w:val="multilevel"/>
    <w:tmpl w:val="D9E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7A7B5A"/>
    <w:multiLevelType w:val="multilevel"/>
    <w:tmpl w:val="DF86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3728246">
    <w:abstractNumId w:val="12"/>
  </w:num>
  <w:num w:numId="2" w16cid:durableId="189925899">
    <w:abstractNumId w:val="5"/>
  </w:num>
  <w:num w:numId="3" w16cid:durableId="295531037">
    <w:abstractNumId w:val="14"/>
  </w:num>
  <w:num w:numId="4" w16cid:durableId="1018508797">
    <w:abstractNumId w:val="2"/>
  </w:num>
  <w:num w:numId="5" w16cid:durableId="1578326151">
    <w:abstractNumId w:val="11"/>
  </w:num>
  <w:num w:numId="6" w16cid:durableId="577980374">
    <w:abstractNumId w:val="0"/>
  </w:num>
  <w:num w:numId="7" w16cid:durableId="1352338587">
    <w:abstractNumId w:val="3"/>
  </w:num>
  <w:num w:numId="8" w16cid:durableId="542789135">
    <w:abstractNumId w:val="7"/>
  </w:num>
  <w:num w:numId="9" w16cid:durableId="445394548">
    <w:abstractNumId w:val="10"/>
  </w:num>
  <w:num w:numId="10" w16cid:durableId="131951277">
    <w:abstractNumId w:val="6"/>
  </w:num>
  <w:num w:numId="11" w16cid:durableId="2104838871">
    <w:abstractNumId w:val="8"/>
  </w:num>
  <w:num w:numId="12" w16cid:durableId="1839805230">
    <w:abstractNumId w:val="13"/>
  </w:num>
  <w:num w:numId="13" w16cid:durableId="1214586383">
    <w:abstractNumId w:val="1"/>
  </w:num>
  <w:num w:numId="14" w16cid:durableId="473257430">
    <w:abstractNumId w:val="9"/>
  </w:num>
  <w:num w:numId="15" w16cid:durableId="1443652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3E"/>
    <w:rsid w:val="0002138E"/>
    <w:rsid w:val="00093E25"/>
    <w:rsid w:val="000D699F"/>
    <w:rsid w:val="00215299"/>
    <w:rsid w:val="00253F3E"/>
    <w:rsid w:val="00340E36"/>
    <w:rsid w:val="00437C6C"/>
    <w:rsid w:val="004A53DA"/>
    <w:rsid w:val="005D436E"/>
    <w:rsid w:val="006C77E7"/>
    <w:rsid w:val="006E2CF3"/>
    <w:rsid w:val="00704173"/>
    <w:rsid w:val="0072419B"/>
    <w:rsid w:val="00804081"/>
    <w:rsid w:val="00851177"/>
    <w:rsid w:val="008D30F8"/>
    <w:rsid w:val="008E2832"/>
    <w:rsid w:val="008E4FB4"/>
    <w:rsid w:val="00A72614"/>
    <w:rsid w:val="00A968BE"/>
    <w:rsid w:val="00AF2E46"/>
    <w:rsid w:val="00B444D3"/>
    <w:rsid w:val="00BF78A9"/>
    <w:rsid w:val="00C42626"/>
    <w:rsid w:val="00C96E2C"/>
    <w:rsid w:val="00D20CD8"/>
    <w:rsid w:val="00DE664A"/>
    <w:rsid w:val="00E87C64"/>
    <w:rsid w:val="67EEC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A2B3"/>
  <w15:chartTrackingRefBased/>
  <w15:docId w15:val="{64D1AC10-0E70-2F41-8960-A409BF83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ipis"/>
    <w:qFormat/>
    <w:rsid w:val="00704173"/>
    <w:pPr>
      <w:spacing w:line="360" w:lineRule="auto"/>
      <w:jc w:val="both"/>
    </w:pPr>
    <w:rPr>
      <w:rFonts w:ascii="Georgia" w:hAnsi="Georgia"/>
      <w:sz w:val="22"/>
      <w:szCs w:val="22"/>
    </w:rPr>
  </w:style>
  <w:style w:type="paragraph" w:styleId="Rubrik2">
    <w:name w:val="heading 2"/>
    <w:aliases w:val="H2"/>
    <w:basedOn w:val="Rubrik"/>
    <w:next w:val="Normal"/>
    <w:link w:val="Rubrik2Char"/>
    <w:uiPriority w:val="9"/>
    <w:unhideWhenUsed/>
    <w:qFormat/>
    <w:rsid w:val="008D30F8"/>
    <w:pPr>
      <w:outlineLvl w:val="1"/>
    </w:pPr>
    <w:rPr>
      <w:b w:val="0"/>
      <w:bCs w:val="0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3F3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53F3E"/>
  </w:style>
  <w:style w:type="paragraph" w:styleId="Sidfot">
    <w:name w:val="footer"/>
    <w:basedOn w:val="Normal"/>
    <w:link w:val="SidfotChar"/>
    <w:uiPriority w:val="99"/>
    <w:unhideWhenUsed/>
    <w:rsid w:val="00253F3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53F3E"/>
  </w:style>
  <w:style w:type="paragraph" w:styleId="Rubrik">
    <w:name w:val="Title"/>
    <w:aliases w:val="H1"/>
    <w:basedOn w:val="Normal"/>
    <w:next w:val="Normal"/>
    <w:link w:val="RubrikChar"/>
    <w:uiPriority w:val="10"/>
    <w:qFormat/>
    <w:rsid w:val="00253F3E"/>
    <w:rPr>
      <w:rFonts w:ascii="Proxima Nova" w:hAnsi="Proxima Nova"/>
      <w:b/>
      <w:bCs/>
      <w:sz w:val="72"/>
      <w:szCs w:val="72"/>
    </w:rPr>
  </w:style>
  <w:style w:type="character" w:customStyle="1" w:styleId="RubrikChar">
    <w:name w:val="Rubrik Char"/>
    <w:aliases w:val="H1 Char"/>
    <w:basedOn w:val="Standardstycketeckensnitt"/>
    <w:link w:val="Rubrik"/>
    <w:uiPriority w:val="10"/>
    <w:rsid w:val="00253F3E"/>
    <w:rPr>
      <w:rFonts w:ascii="Proxima Nova" w:hAnsi="Proxima Nova"/>
      <w:b/>
      <w:bCs/>
      <w:sz w:val="72"/>
      <w:szCs w:val="72"/>
    </w:rPr>
  </w:style>
  <w:style w:type="character" w:customStyle="1" w:styleId="Rubrik2Char">
    <w:name w:val="Rubrik 2 Char"/>
    <w:aliases w:val="H2 Char"/>
    <w:basedOn w:val="Standardstycketeckensnitt"/>
    <w:link w:val="Rubrik2"/>
    <w:uiPriority w:val="9"/>
    <w:rsid w:val="008D30F8"/>
    <w:rPr>
      <w:rFonts w:ascii="Proxima Nova" w:hAnsi="Proxima Nov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AF650CA0AF04A823ED132E01E9FEC" ma:contentTypeVersion="13" ma:contentTypeDescription="Create a new document." ma:contentTypeScope="" ma:versionID="adf163a9e77235266038e8651addb9d5">
  <xsd:schema xmlns:xsd="http://www.w3.org/2001/XMLSchema" xmlns:xs="http://www.w3.org/2001/XMLSchema" xmlns:p="http://schemas.microsoft.com/office/2006/metadata/properties" xmlns:ns2="b2a31e2b-f743-4f2d-81e3-230fc05c6f20" xmlns:ns3="f82051eb-f6c1-4bf7-b149-825d6d2262c9" targetNamespace="http://schemas.microsoft.com/office/2006/metadata/properties" ma:root="true" ma:fieldsID="2fc0284b626e1dcc7e0b75c0c9b5bf7f" ns2:_="" ns3:_="">
    <xsd:import namespace="b2a31e2b-f743-4f2d-81e3-230fc05c6f20"/>
    <xsd:import namespace="f82051eb-f6c1-4bf7-b149-825d6d22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1e2b-f743-4f2d-81e3-230fc05c6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88cf0c-8add-4b1a-a6ca-d93f6a687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051eb-f6c1-4bf7-b149-825d6d2262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3bd08d-57e5-4db1-a891-9911f69fab3e}" ma:internalName="TaxCatchAll" ma:showField="CatchAllData" ma:web="f82051eb-f6c1-4bf7-b149-825d6d226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31e2b-f743-4f2d-81e3-230fc05c6f20">
      <Terms xmlns="http://schemas.microsoft.com/office/infopath/2007/PartnerControls"/>
    </lcf76f155ced4ddcb4097134ff3c332f>
    <TaxCatchAll xmlns="f82051eb-f6c1-4bf7-b149-825d6d2262c9" xsi:nil="true"/>
  </documentManagement>
</p:properties>
</file>

<file path=customXml/itemProps1.xml><?xml version="1.0" encoding="utf-8"?>
<ds:datastoreItem xmlns:ds="http://schemas.openxmlformats.org/officeDocument/2006/customXml" ds:itemID="{ACA4B48A-5E55-4489-AFDA-FEBC0E0F5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31e2b-f743-4f2d-81e3-230fc05c6f20"/>
    <ds:schemaRef ds:uri="f82051eb-f6c1-4bf7-b149-825d6d22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E000B-4DC3-4330-9D93-B89E45707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230C3-E1B2-4121-A6ED-8EDEA3496F0B}">
  <ds:schemaRefs>
    <ds:schemaRef ds:uri="http://schemas.microsoft.com/office/2006/metadata/properties"/>
    <ds:schemaRef ds:uri="http://schemas.microsoft.com/office/infopath/2007/PartnerControls"/>
    <ds:schemaRef ds:uri="b2a31e2b-f743-4f2d-81e3-230fc05c6f20"/>
    <ds:schemaRef ds:uri="f82051eb-f6c1-4bf7-b149-825d6d226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2105</Characters>
  <Application>Microsoft Office Word</Application>
  <DocSecurity>2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Papinaho</dc:creator>
  <cp:keywords/>
  <dc:description/>
  <cp:lastModifiedBy>Södergård Andrea</cp:lastModifiedBy>
  <cp:revision>7</cp:revision>
  <dcterms:created xsi:type="dcterms:W3CDTF">2025-12-19T07:55:00Z</dcterms:created>
  <dcterms:modified xsi:type="dcterms:W3CDTF">2026-01-12T06:03:00Z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0x010100B6DAF650CA0AF04A823ED132E01E9FEC</vt:lpwstr>
  </property>
  <property fmtid="{D5CDD505-2E9C-101B-9397-08002B2CF9AE}" pid="3" name="MediaServiceImageTags">
    <vt:lpwstr/>
  </property>
</Properties>
</file>